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37" w:rsidRPr="00B518D0" w:rsidRDefault="00926F37" w:rsidP="00B518D0">
      <w:pPr>
        <w:keepNext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inherit" w:eastAsia="Times New Roman" w:hAnsi="inherit" w:cs="Helvetica"/>
          <w:noProof/>
          <w:color w:val="333333"/>
          <w:sz w:val="36"/>
          <w:szCs w:val="36"/>
          <w:lang w:eastAsia="lt-LT"/>
        </w:rPr>
        <w:drawing>
          <wp:inline distT="0" distB="0" distL="0" distR="0">
            <wp:extent cx="669851" cy="543380"/>
            <wp:effectExtent l="0" t="0" r="0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69" cy="54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               </w:t>
      </w:r>
      <w:r w:rsidRPr="00B518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Pradedamos mokėti pensijų kompensacijos</w:t>
      </w:r>
    </w:p>
    <w:p w:rsidR="00926F37" w:rsidRPr="00B518D0" w:rsidRDefault="00926F37" w:rsidP="00926F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</w:p>
    <w:p w:rsidR="00926F37" w:rsidRPr="00B518D0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Šią savaitę gyventojai sulauks sprendimų dėl pensijų kompensacijų, o nuo lapkričio 25 d. iki gruodžio 20 d. bus išmokėta pirmoji kompensacijų dalis.</w:t>
      </w:r>
    </w:p>
    <w:p w:rsidR="00926F37" w:rsidRPr="00B518D0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Kompensuojamas šių rūšių pensijų sumažinimas 2010 ir 2011 metais: senatvės, išankstinės senatvės, netekto darbingumo, invalidumo.</w:t>
      </w:r>
    </w:p>
    <w:p w:rsidR="00926F37" w:rsidRPr="00B518D0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Kiekvienam asmeniui, kuriam priklauso kompensacija, „Lietuvos paštas“ pristatys „Sodros“ ženklu pažymėtą registruotą laišką su sprendimu apie tikslią kompensuojamą sumą ir jos išmokėjimo terminus.</w:t>
      </w:r>
      <w:r w:rsidR="0045336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 w:rsidR="00453365" w:rsidRPr="004B2462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Už laiškų pristatymą gyventojams mokėti nereikia.</w:t>
      </w:r>
    </w:p>
    <w:p w:rsidR="00926F37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Kartu su sprendimu voke bus ir unikalus kliento identifikavimo numeris. Prireikus, gyventojai su šiuo kodu </w:t>
      </w:r>
      <w:r w:rsidRPr="004B2462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galės gauti asmeninę informaciją </w:t>
      </w:r>
      <w:r w:rsidR="00182D10" w:rsidRPr="004B2462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apie pensijos skyrimą ir mokėjimą</w:t>
      </w:r>
      <w:r w:rsidR="00182D1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 w:rsidR="00CC240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telefonu 1883 arba (8 </w:t>
      </w: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5) 250 0883.</w:t>
      </w:r>
    </w:p>
    <w:p w:rsidR="00453365" w:rsidRPr="00453365" w:rsidRDefault="00453365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4B2462">
        <w:rPr>
          <w:rFonts w:ascii="Times New Roman" w:hAnsi="Times New Roman" w:cs="Times New Roman"/>
          <w:sz w:val="24"/>
          <w:szCs w:val="24"/>
        </w:rPr>
        <w:t>Jei pašto darbuotojas neras kliento, jam bus paliktas pranešimas apie registruotą pašto siuntą, kurią galima atsiimti pašto skyriuje. Jei per 30 dienų vokas nebus įteiktas, visa siunta bus grąžinama į „Sodros“ teritorinį skyrių.</w:t>
      </w:r>
    </w:p>
    <w:p w:rsidR="00453365" w:rsidRPr="00B518D0" w:rsidRDefault="00926F37" w:rsidP="00453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Jeigu dėl kokių nors priežasčių sprendimas nepasieks adresato, jo nuorašą patogiu metu bus galima atsiimti bet kuriame „Sodros“ teritoriniame skyriuje pateikus asmens tapatybės dokumentą.</w:t>
      </w:r>
    </w:p>
    <w:p w:rsidR="00926F37" w:rsidRPr="00B518D0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Pinigai bus išmokėti (pristatyti) tokiu pačiu būdu, kokiu išmokama pensija – tai yra į banko sąskaitą, į namus arba mokėjimo įstaigą.</w:t>
      </w:r>
      <w:bookmarkStart w:id="0" w:name="_GoBack"/>
      <w:bookmarkEnd w:id="0"/>
    </w:p>
    <w:p w:rsidR="00926F37" w:rsidRPr="00B518D0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Prašymų dėl kompensacijų apskaičiavimo ir išmokėjimo teikti nereikia. Nebent asmuo išvyko į užsienį arba pasibaigė jam mokėtos netekto darbingumo (invalidumo) pensijos skyrimo terminas. Tokiu atveju prašymą reikėtų pateikti artimiausiame „Sodros“ teritoriniame skyriuje.</w:t>
      </w:r>
    </w:p>
    <w:p w:rsidR="00926F37" w:rsidRPr="00B518D0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Šiemet bus išmokėta 20 proc. visos apskaičiuotos kompensuojamos sumos. Po 40 proc. sumos lygiomis dalimis bus išmokėta 2015 m. ir 2016 m. – kovo, birželio, rugsėjo ir gruodžio mėnesiais.</w:t>
      </w:r>
    </w:p>
    <w:p w:rsidR="00926F37" w:rsidRPr="00B518D0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Pavyzdžiui, jeigu apskaičiuota kompensuojamoji suma yra 1000 Lt, tai šiemet bus išmokėta 200 Lt, o 2015-2016 m. kovo, birželio, rugsėjo ir gruodžio mėnesiais – po 100 Lt.</w:t>
      </w:r>
    </w:p>
    <w:p w:rsidR="00926F37" w:rsidRPr="00B518D0" w:rsidRDefault="00926F37" w:rsidP="00B5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Primename, kad dirbusiems pensininkams pensijos buvo mažintos du kartus. Šiemet pradedamu kompensavimu kompensuojamas tik vienas sumažinimas (toks pats, kaip ir nedirbusiems pensininkams). Pensijos iki 650 Lt nebuvo mažintos.</w:t>
      </w:r>
    </w:p>
    <w:p w:rsidR="00926F37" w:rsidRPr="00B518D0" w:rsidRDefault="00926F37" w:rsidP="00926F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</w:t>
      </w:r>
    </w:p>
    <w:p w:rsidR="00926F37" w:rsidRPr="00B518D0" w:rsidRDefault="00926F37" w:rsidP="00926F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B518D0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</w:t>
      </w:r>
    </w:p>
    <w:p w:rsidR="00926F37" w:rsidRPr="00B518D0" w:rsidRDefault="00B518D0" w:rsidP="00926F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VSDFV Utenos skyrius</w:t>
      </w:r>
    </w:p>
    <w:p w:rsidR="008247C3" w:rsidRPr="00B518D0" w:rsidRDefault="008247C3">
      <w:pPr>
        <w:rPr>
          <w:rFonts w:ascii="Times New Roman" w:hAnsi="Times New Roman" w:cs="Times New Roman"/>
          <w:sz w:val="24"/>
          <w:szCs w:val="24"/>
        </w:rPr>
      </w:pPr>
    </w:p>
    <w:sectPr w:rsidR="008247C3" w:rsidRPr="00B518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37"/>
    <w:rsid w:val="00074CFC"/>
    <w:rsid w:val="00182D10"/>
    <w:rsid w:val="00417D8D"/>
    <w:rsid w:val="00453365"/>
    <w:rsid w:val="004716D9"/>
    <w:rsid w:val="004B2462"/>
    <w:rsid w:val="008247C3"/>
    <w:rsid w:val="008A439C"/>
    <w:rsid w:val="00926F37"/>
    <w:rsid w:val="00B518D0"/>
    <w:rsid w:val="00CC2400"/>
    <w:rsid w:val="00E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926F37"/>
    <w:pPr>
      <w:keepNext/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926F37"/>
    <w:rPr>
      <w:rFonts w:ascii="inherit" w:eastAsia="Times New Roman" w:hAnsi="inherit" w:cs="Times New Roman"/>
      <w:sz w:val="36"/>
      <w:szCs w:val="36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6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926F37"/>
    <w:pPr>
      <w:keepNext/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926F37"/>
    <w:rPr>
      <w:rFonts w:ascii="inherit" w:eastAsia="Times New Roman" w:hAnsi="inherit" w:cs="Times New Roman"/>
      <w:sz w:val="36"/>
      <w:szCs w:val="36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6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Stanevičiūtė</dc:creator>
  <cp:lastModifiedBy>Jovita Stanevičiūtė</cp:lastModifiedBy>
  <cp:revision>8</cp:revision>
  <dcterms:created xsi:type="dcterms:W3CDTF">2014-11-13T11:25:00Z</dcterms:created>
  <dcterms:modified xsi:type="dcterms:W3CDTF">2014-11-14T07:12:00Z</dcterms:modified>
</cp:coreProperties>
</file>