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308D1" w:rsidRDefault="005B5625">
      <w:pPr>
        <w:suppressAutoHyphens/>
        <w:ind w:left="5954"/>
        <w:textAlignment w:val="baseline"/>
      </w:pPr>
      <w:r>
        <w:t xml:space="preserve">Prašymų suteikti paramą būstui </w:t>
      </w:r>
    </w:p>
    <w:p w:rsidR="00A308D1" w:rsidRDefault="005B5625">
      <w:pPr>
        <w:suppressAutoHyphens/>
        <w:ind w:left="5954"/>
        <w:textAlignment w:val="baseline"/>
      </w:pPr>
      <w:r>
        <w:t xml:space="preserve">įsigyti ar išsinuomoti </w:t>
      </w:r>
    </w:p>
    <w:p w:rsidR="00A308D1" w:rsidRDefault="005B5625">
      <w:pPr>
        <w:suppressAutoHyphens/>
        <w:ind w:left="5954"/>
        <w:textAlignment w:val="baseline"/>
      </w:pPr>
      <w:r>
        <w:t xml:space="preserve">nagrinėjimo tvarkos aprašo </w:t>
      </w:r>
    </w:p>
    <w:p w:rsidR="00A308D1" w:rsidRDefault="005B5625">
      <w:pPr>
        <w:suppressAutoHyphens/>
        <w:ind w:left="5954"/>
        <w:textAlignment w:val="baseline"/>
      </w:pPr>
      <w:r>
        <w:t>6 priedas</w:t>
      </w:r>
    </w:p>
    <w:p w:rsidR="00A308D1" w:rsidRDefault="00A308D1">
      <w:pPr>
        <w:suppressAutoHyphens/>
        <w:ind w:left="5954"/>
        <w:textAlignment w:val="baseline"/>
      </w:pPr>
    </w:p>
    <w:p w:rsidR="00A308D1" w:rsidRDefault="005B5625">
      <w:pPr>
        <w:suppressAutoHyphens/>
        <w:jc w:val="center"/>
        <w:textAlignment w:val="baseline"/>
        <w:rPr>
          <w:b/>
        </w:rPr>
      </w:pPr>
      <w:r>
        <w:rPr>
          <w:b/>
        </w:rPr>
        <w:t>PAJAMŲ, KURIOS, VADOVAUJANTIS LIETUVOS RESPUBLIKOS PINIGINĖS SOCIALINĖS PARAMOS NEPASITURINTIEMS GYVENTOJAMS ĮSTATYMO 17 STRAIPSNIO 1 DALIMI, NEĮSKAITOMOS Į ASMENŲ IR ŠEIMŲ GAUNAMAS PAJAMAS, SĄRAŠAS</w:t>
      </w:r>
    </w:p>
    <w:p w:rsidR="00A308D1" w:rsidRDefault="00A308D1">
      <w:pPr>
        <w:suppressAutoHyphens/>
        <w:jc w:val="center"/>
        <w:textAlignment w:val="baseline"/>
        <w:rPr>
          <w:b/>
        </w:rPr>
      </w:pPr>
    </w:p>
    <w:p w:rsidR="00A308D1" w:rsidRDefault="005B5625">
      <w:pPr>
        <w:suppressAutoHyphens/>
        <w:textAlignment w:val="baseline"/>
        <w:rPr>
          <w:szCs w:val="24"/>
        </w:rPr>
      </w:pPr>
      <w:r>
        <w:rPr>
          <w:szCs w:val="24"/>
        </w:rPr>
        <w:t>ASMUO, KURIS PATEIKIA PRIEDĄ¹</w:t>
      </w:r>
    </w:p>
    <w:tbl>
      <w:tblPr>
        <w:tblW w:w="8674" w:type="dxa"/>
        <w:tblInd w:w="-34" w:type="dxa"/>
        <w:tblCellMar>
          <w:left w:w="10" w:type="dxa"/>
          <w:right w:w="10" w:type="dxa"/>
        </w:tblCellMar>
        <w:tblLook w:val="0000" w:firstRow="0" w:lastRow="0" w:firstColumn="0" w:lastColumn="0" w:noHBand="0" w:noVBand="0"/>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A308D1">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r>
    </w:tbl>
    <w:p w:rsidR="00A308D1" w:rsidRDefault="00A308D1">
      <w:pPr>
        <w:suppressAutoHyphens/>
        <w:textAlignment w:val="baseline"/>
        <w:rPr>
          <w:b/>
        </w:rPr>
      </w:pPr>
    </w:p>
    <w:tbl>
      <w:tblPr>
        <w:tblW w:w="8387" w:type="dxa"/>
        <w:tblInd w:w="-34" w:type="dxa"/>
        <w:tblCellMar>
          <w:left w:w="10" w:type="dxa"/>
          <w:right w:w="10" w:type="dxa"/>
        </w:tblCellMar>
        <w:tblLook w:val="0000" w:firstRow="0" w:lastRow="0" w:firstColumn="0" w:lastColumn="0" w:noHBand="0" w:noVBand="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308D1">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r>
    </w:tbl>
    <w:p w:rsidR="00A308D1" w:rsidRDefault="00A308D1">
      <w:pPr>
        <w:suppressAutoHyphens/>
        <w:textAlignment w:val="baseline"/>
        <w:rPr>
          <w:b/>
        </w:rPr>
      </w:pPr>
    </w:p>
    <w:tbl>
      <w:tblPr>
        <w:tblW w:w="9321" w:type="dxa"/>
        <w:tblInd w:w="-34" w:type="dxa"/>
        <w:tblCellMar>
          <w:left w:w="10" w:type="dxa"/>
          <w:right w:w="10" w:type="dxa"/>
        </w:tblCellMar>
        <w:tblLook w:val="0000" w:firstRow="0" w:lastRow="0" w:firstColumn="0" w:lastColumn="0" w:noHBand="0" w:noVBand="0"/>
      </w:tblPr>
      <w:tblGrid>
        <w:gridCol w:w="1985"/>
        <w:gridCol w:w="284"/>
        <w:gridCol w:w="283"/>
        <w:gridCol w:w="284"/>
        <w:gridCol w:w="283"/>
        <w:gridCol w:w="284"/>
        <w:gridCol w:w="283"/>
        <w:gridCol w:w="284"/>
        <w:gridCol w:w="283"/>
        <w:gridCol w:w="284"/>
        <w:gridCol w:w="283"/>
        <w:gridCol w:w="284"/>
        <w:gridCol w:w="4217"/>
      </w:tblGrid>
      <w:tr w:rsidR="00A308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4217" w:type="dxa"/>
            <w:tcBorders>
              <w:lef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 w:val="20"/>
              </w:rPr>
            </w:pPr>
          </w:p>
        </w:tc>
      </w:tr>
    </w:tbl>
    <w:p w:rsidR="00A308D1" w:rsidRDefault="005B5625" w:rsidP="005E297F">
      <w:pPr>
        <w:suppressAutoHyphens/>
        <w:ind w:hanging="142"/>
        <w:jc w:val="both"/>
        <w:textAlignment w:val="baseline"/>
        <w:rPr>
          <w:i/>
          <w:szCs w:val="24"/>
        </w:rPr>
      </w:pPr>
      <w:r>
        <w:rPr>
          <w:i/>
          <w:szCs w:val="24"/>
        </w:rPr>
        <w:t>¹</w:t>
      </w:r>
      <w:r>
        <w:rPr>
          <w:szCs w:val="24"/>
        </w:rPr>
        <w:t xml:space="preserve"> </w:t>
      </w:r>
      <w:r>
        <w:rPr>
          <w:i/>
          <w:szCs w:val="24"/>
        </w:rPr>
        <w:t xml:space="preserve">Jei kreipiasi įstatymų nustatyta tvarka įgaliotas atstovas, įrašomi atstovaujamojo duomenys. </w:t>
      </w:r>
    </w:p>
    <w:p w:rsidR="005E297F" w:rsidRDefault="005E297F" w:rsidP="005E297F">
      <w:pPr>
        <w:suppressAutoHyphens/>
        <w:ind w:hanging="142"/>
        <w:jc w:val="both"/>
        <w:textAlignment w:val="baseline"/>
        <w:rPr>
          <w:i/>
          <w:szCs w:val="24"/>
        </w:rPr>
      </w:pPr>
    </w:p>
    <w:p w:rsidR="005E297F" w:rsidRDefault="005E297F" w:rsidP="005E297F">
      <w:pPr>
        <w:suppressAutoHyphens/>
        <w:ind w:hanging="142"/>
        <w:jc w:val="both"/>
        <w:textAlignment w:val="baseline"/>
        <w:rPr>
          <w:b/>
        </w:rPr>
      </w:pPr>
    </w:p>
    <w:p w:rsidR="00A308D1" w:rsidRDefault="00A308D1">
      <w:pPr>
        <w:suppressAutoHyphens/>
        <w:jc w:val="center"/>
        <w:textAlignment w:val="baseline"/>
        <w:rPr>
          <w:b/>
        </w:rPr>
      </w:pPr>
    </w:p>
    <w:tbl>
      <w:tblPr>
        <w:tblW w:w="9828" w:type="dxa"/>
        <w:tblLayout w:type="fixed"/>
        <w:tblCellMar>
          <w:left w:w="10" w:type="dxa"/>
          <w:right w:w="10" w:type="dxa"/>
        </w:tblCellMar>
        <w:tblLook w:val="0000" w:firstRow="0" w:lastRow="0" w:firstColumn="0" w:lastColumn="0" w:noHBand="0" w:noVBand="0"/>
      </w:tblPr>
      <w:tblGrid>
        <w:gridCol w:w="648"/>
        <w:gridCol w:w="6548"/>
        <w:gridCol w:w="2632"/>
      </w:tblGrid>
      <w:tr w:rsidR="00A308D1">
        <w:trPr>
          <w:cantSplit/>
          <w:trHeight w:val="562"/>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Eil.</w:t>
            </w:r>
          </w:p>
          <w:p w:rsidR="00A308D1" w:rsidRDefault="005B5625">
            <w:pPr>
              <w:jc w:val="center"/>
              <w:rPr>
                <w:szCs w:val="24"/>
              </w:rPr>
            </w:pPr>
            <w:r>
              <w:rPr>
                <w:szCs w:val="24"/>
              </w:rPr>
              <w:t>Nr.</w:t>
            </w:r>
          </w:p>
        </w:tc>
        <w:tc>
          <w:tcPr>
            <w:tcW w:w="6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5B5625">
            <w:pPr>
              <w:jc w:val="center"/>
              <w:rPr>
                <w:szCs w:val="24"/>
                <w:vertAlign w:val="superscript"/>
              </w:rPr>
            </w:pPr>
            <w:r>
              <w:rPr>
                <w:szCs w:val="24"/>
              </w:rPr>
              <w:t>Pajamų rūšies pavadinimas</w:t>
            </w:r>
            <w:r>
              <w:rPr>
                <w:szCs w:val="24"/>
                <w:vertAlign w:val="superscript"/>
              </w:rPr>
              <w:t>2</w:t>
            </w:r>
          </w:p>
        </w:tc>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jc w:val="center"/>
              <w:textAlignment w:val="baseline"/>
            </w:pPr>
            <w:r>
              <w:t>Pajamos (Eur)</w:t>
            </w:r>
          </w:p>
        </w:tc>
      </w:tr>
    </w:tbl>
    <w:p w:rsidR="00A308D1" w:rsidRDefault="00A308D1"/>
    <w:tbl>
      <w:tblPr>
        <w:tblW w:w="9889" w:type="dxa"/>
        <w:tblLayout w:type="fixed"/>
        <w:tblCellMar>
          <w:left w:w="10" w:type="dxa"/>
          <w:right w:w="10" w:type="dxa"/>
        </w:tblCellMar>
        <w:tblLook w:val="0000" w:firstRow="0" w:lastRow="0" w:firstColumn="0" w:lastColumn="0" w:noHBand="0" w:noVBand="0"/>
      </w:tblPr>
      <w:tblGrid>
        <w:gridCol w:w="817"/>
        <w:gridCol w:w="6379"/>
        <w:gridCol w:w="2693"/>
      </w:tblGrid>
      <w:tr w:rsidR="00A308D1">
        <w:trPr>
          <w:cantSplit/>
          <w:tblHeader/>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jc w:val="center"/>
              <w:textAlignment w:val="baseline"/>
              <w:rPr>
                <w:szCs w:val="24"/>
              </w:rPr>
            </w:pPr>
            <w:r>
              <w:rPr>
                <w:szCs w:val="24"/>
              </w:rPr>
              <w:t>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3</w:t>
            </w: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r>
              <w:rPr>
                <w:bCs/>
                <w:szCs w:val="24"/>
              </w:rPr>
              <w:t>Asmenų iki 18 metų pajamos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r>
              <w:rPr>
                <w:szCs w:val="24"/>
              </w:rPr>
              <w:t>Senatvės ir netekto darbingumo (invalidumo) pensijų kompensuojamoji suma, mokama pagal Lietuvos Respublikos valstybinių socialinio draudimo senatvės ir netekto darbingumo (invalidumo) pensijų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A308D1">
            <w:pPr>
              <w:jc w:val="cente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r>
              <w:rPr>
                <w:szCs w:val="24"/>
              </w:rPr>
              <w:t>Senatvės ir valstybinių pensijų kompensuojamoji suma, mokama pagal Lietuvos Respublikos valstybinių socialinio draudimo senatvės pensijų ir valstybinių pensijų, sumažintų dėl draudžiamųjų pajamų turėjimo,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jc w:val="center"/>
              <w:rPr>
                <w:szCs w:val="24"/>
              </w:rPr>
            </w:pPr>
            <w:r>
              <w:rPr>
                <w:szCs w:val="24"/>
              </w:rPr>
              <w:t>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Pajamos iš žemės ūkio naudmenų, kurių bendras plotas neviršija 3 hektarų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jc w:val="center"/>
              <w:rPr>
                <w:szCs w:val="24"/>
              </w:rPr>
            </w:pPr>
            <w:r>
              <w:rPr>
                <w:szCs w:val="24"/>
              </w:rPr>
              <w:t>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Pajamų dalis, gauta teikiant žemės ūkio ir miškininkystės paslaugas pagal žemės ūkio ir miškininkystės paslaugų kvitą,  jei šių paslaugų teikimą nustato Lietuvos Respublikos žemės ūkio ir miškininkystės paslaugų teikimo pagal paslaugų kvitą įstatymas, neviršijanti 1 750 eurų per einamuosius kalendorinius metus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jc w:val="center"/>
              <w:rPr>
                <w:szCs w:val="24"/>
              </w:rPr>
            </w:pPr>
            <w:r>
              <w:rPr>
                <w:szCs w:val="24"/>
              </w:rPr>
              <w:t>6.</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tabs>
                <w:tab w:val="center" w:pos="4320"/>
                <w:tab w:val="right" w:pos="8640"/>
              </w:tabs>
              <w:rPr>
                <w:szCs w:val="24"/>
              </w:rPr>
            </w:pPr>
            <w:r>
              <w:rPr>
                <w:szCs w:val="24"/>
              </w:rPr>
              <w:t>Vienkartinės išmokos ir (ar) pašalpos, mokamos iš valstybės, Valstybinio socialinio draudimo fondo ar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jc w:val="center"/>
              <w:rPr>
                <w:szCs w:val="24"/>
              </w:rPr>
            </w:pPr>
            <w:r>
              <w:rPr>
                <w:szCs w:val="24"/>
              </w:rPr>
              <w:t>7.</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tabs>
                <w:tab w:val="center" w:pos="4320"/>
                <w:tab w:val="right" w:pos="8640"/>
              </w:tabs>
              <w:rPr>
                <w:szCs w:val="24"/>
              </w:rPr>
            </w:pPr>
            <w:r>
              <w:rPr>
                <w:szCs w:val="24"/>
              </w:rPr>
              <w:t>Socialinė parama, skiriama kitais, Lietuvos Respublikos piniginės socialinės paramos nepasiturintiems gyventojams įstatyme nenumatytais, atvejais ir mokama iš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jc w:val="center"/>
              <w:rPr>
                <w:szCs w:val="24"/>
              </w:rPr>
            </w:pPr>
            <w:r>
              <w:rPr>
                <w:szCs w:val="24"/>
              </w:rPr>
              <w:t xml:space="preserve">8. </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tabs>
                <w:tab w:val="center" w:pos="4320"/>
                <w:tab w:val="right" w:pos="8640"/>
              </w:tabs>
              <w:rPr>
                <w:szCs w:val="24"/>
              </w:rPr>
            </w:pPr>
            <w:r>
              <w:rPr>
                <w:szCs w:val="24"/>
              </w:rPr>
              <w:t>Išmokos, mokamos pagal Lietuvos Respublikos užimtumo įstatymą ir (ar) iš Europos prisitaikymo prie globalizacijos padarinių fondo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jc w:val="center"/>
              <w:rPr>
                <w:szCs w:val="24"/>
              </w:rPr>
            </w:pPr>
            <w:r>
              <w:rPr>
                <w:szCs w:val="24"/>
              </w:rPr>
              <w:t>9.</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tabs>
                <w:tab w:val="center" w:pos="4320"/>
                <w:tab w:val="right" w:pos="8640"/>
              </w:tabs>
              <w:rPr>
                <w:szCs w:val="24"/>
              </w:rPr>
            </w:pPr>
            <w:r>
              <w:rPr>
                <w:szCs w:val="24"/>
              </w:rPr>
              <w:t>Darbdavio mokamos vienkartinės išmokos ir (ar) pašalpos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jc w:val="center"/>
              <w:rPr>
                <w:szCs w:val="24"/>
              </w:rPr>
            </w:pPr>
            <w:r>
              <w:rPr>
                <w:szCs w:val="24"/>
              </w:rPr>
              <w:t>10.</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 xml:space="preserve">Kas mėnesį gaunamos socialinio pobūdžio pajamos: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10.1.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transporto išlaidų kompensacijos neįgaliesiems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ind w:firstLine="62"/>
              <w:rPr>
                <w:szCs w:val="24"/>
              </w:rPr>
            </w:pPr>
            <w:r>
              <w:rPr>
                <w:szCs w:val="24"/>
              </w:rPr>
              <w:t>10.2.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kompensacijos donorams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10.3.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pagalbos pinigai, mokami pagal Lietuvos Respublikos socialinių paslaugų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10.4.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išmoka vaikui, globos (rūpybos) išmokos tikslinis priedas, vaiko laikinosios priežiūros išmoka, mokami pagal Lietuvos Respublikos išmokų vaikams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A308D1">
            <w:pPr>
              <w:jc w:val="cente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10.5.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būsto nuomos ar išperkamosios būsto nuomos mokesčio dalies kompensacija, mokama pagal Lietuvos Respublikos paramos būstui įsigyti ar išsinuomoti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A308D1">
            <w:pPr>
              <w:jc w:val="cente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10.6.</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tikslinės kompensacijos ir tikslinis priedas, mokami pagal Lietuvos Respublikos tikslinių kompensacijų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A308D1">
            <w:pPr>
              <w:jc w:val="cente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11.</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Draudimo išmokos, mokamos pagal turto draudimo, civilinės atsakomybės draudimo, taip pat sveikatos draudimo sutartis patirtiems nuostoliams atlyginti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A308D1">
            <w:pPr>
              <w:jc w:val="cente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12.</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textAlignment w:val="baseline"/>
            </w:pPr>
            <w:r>
              <w:t>Turto pardavimo pajamos, jeigu jų bendra suma viršija 580 eurų (šios pajamos įskaitomos į turtą)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13.</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r>
              <w:rPr>
                <w:szCs w:val="24"/>
              </w:rPr>
              <w:t>Stipendijos ir kita materialinė parama, teikiama aukštųjų mokyklų pirmosios, antrosios pakopų, vientisųjų ir laipsnio nesuteikiančių studijų studentams (išskyrus rezidentūros studijų studentus),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stipendijos bei kita materialinė parama, teikiama profesinio mokymo įstaigų mokiniams, kurie mokosi pagal profesinio mokymo programą pirmajai kvalifikacijai įgyti, ir stipendija, mokama bedarbiams, kurie dalyvauja profesinio mokymo ar įdarbinimo pagal pameistrystės darbo sutartį priemonėse, stažuotėje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rPr>
                <w:szCs w:val="24"/>
              </w:rPr>
            </w:pPr>
            <w:r>
              <w:rPr>
                <w:szCs w:val="24"/>
              </w:rPr>
              <w:t>Paskolos ar jų dalis, įskaitomos į turtą, aukštųjų mokyklų studentams teikiamos valstybės paskolos arba valstybės remiamos paskolos, kreditai būstui atnaujinti (modernizuoti), jeigu daugiabučio namo butų savininkai įgyvendino ar įgyvendina valstybės ir (ar) savivaldybės remiamą daugiabučio namo atnaujinimo (modernizavimo) projektą, ir gautos (negrąžintos) paskolos nekilnojamajam turtui pirkti (statyti)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r w:rsidR="00A308D1">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jc w:val="center"/>
              <w:rPr>
                <w:szCs w:val="24"/>
              </w:rPr>
            </w:pPr>
            <w:r>
              <w:rPr>
                <w:szCs w:val="24"/>
              </w:rPr>
              <w:t>15.</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r>
              <w:rPr>
                <w:szCs w:val="24"/>
              </w:rPr>
              <w:t>Piniginių lėšų dalis, gauta per laikotarpį, už kurį pajamos apskaičiuojamos, neviršijanti 1 valstybės remiamų pajamų dydžio, ir piniginės lėšos, kuriomis kompensuojamos patirtos ir dokumentais pagrįstos su visuomenei naudinga veikla (savanoriška veikla ir pan.) susijusios išlaidos, ir labdara piniginėmis lėšomis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rPr>
                <w:szCs w:val="24"/>
              </w:rPr>
            </w:pPr>
          </w:p>
        </w:tc>
      </w:tr>
    </w:tbl>
    <w:p w:rsidR="00A308D1" w:rsidRDefault="005B5625">
      <w:pPr>
        <w:suppressAutoHyphens/>
        <w:jc w:val="both"/>
        <w:textAlignment w:val="baseline"/>
        <w:rPr>
          <w:i/>
        </w:rPr>
      </w:pPr>
      <w:r>
        <w:rPr>
          <w:i/>
          <w:szCs w:val="24"/>
          <w:vertAlign w:val="superscript"/>
        </w:rPr>
        <w:t xml:space="preserve">2 </w:t>
      </w:r>
      <w:r>
        <w:rPr>
          <w:i/>
          <w:szCs w:val="24"/>
        </w:rPr>
        <w:t xml:space="preserve">Šeimos atveju įrašomos visų šeimos narių gautos pajamos, kurios, </w:t>
      </w:r>
      <w:r>
        <w:rPr>
          <w:i/>
        </w:rPr>
        <w:t>vadovaujantis Lietuvos Respublikos piniginės socialinės paramos nepasiturintiems gyventojams įstatymo 17 straipsnio 1 dalimi, neįskaitomos į asmenų ir šeimų gaunamas pajamas.</w:t>
      </w:r>
    </w:p>
    <w:p w:rsidR="00A308D1" w:rsidRDefault="00A308D1"/>
    <w:p w:rsidR="00A308D1" w:rsidRDefault="005B5625">
      <w:pPr>
        <w:suppressAutoHyphens/>
        <w:jc w:val="both"/>
        <w:textAlignment w:val="baseline"/>
        <w:rPr>
          <w:szCs w:val="24"/>
        </w:rPr>
      </w:pPr>
      <w:r>
        <w:rPr>
          <w:szCs w:val="24"/>
        </w:rPr>
        <w:t>_____________________________</w:t>
      </w:r>
      <w:r>
        <w:rPr>
          <w:szCs w:val="24"/>
        </w:rPr>
        <w:tab/>
      </w:r>
      <w:r>
        <w:rPr>
          <w:szCs w:val="24"/>
        </w:rPr>
        <w:tab/>
        <w:t xml:space="preserve">      __________________________________</w:t>
      </w:r>
    </w:p>
    <w:p w:rsidR="00A308D1" w:rsidRDefault="005B5625">
      <w:pPr>
        <w:suppressAutoHyphens/>
        <w:ind w:firstLine="576"/>
        <w:jc w:val="both"/>
        <w:textAlignment w:val="baseline"/>
        <w:rPr>
          <w:sz w:val="18"/>
          <w:szCs w:val="18"/>
        </w:rPr>
      </w:pPr>
      <w:r>
        <w:rPr>
          <w:sz w:val="18"/>
          <w:szCs w:val="18"/>
        </w:rPr>
        <w:t>(priedą pateikusio asmens arba                                                                                (priedą pateikusio asmens arba asmens</w:t>
      </w:r>
    </w:p>
    <w:p w:rsidR="00A308D1" w:rsidRDefault="005B5625">
      <w:pPr>
        <w:ind w:firstLine="576"/>
        <w:rPr>
          <w:sz w:val="18"/>
          <w:szCs w:val="18"/>
        </w:rPr>
      </w:pPr>
      <w:r>
        <w:rPr>
          <w:sz w:val="18"/>
          <w:szCs w:val="18"/>
        </w:rPr>
        <w:t>asmens įgalioto atstovo parašas)                                                                              įgalioto atstovo vardas ir pavardė)</w:t>
      </w:r>
    </w:p>
    <w:p w:rsidR="00A308D1" w:rsidRDefault="005B5625">
      <w:pPr>
        <w:jc w:val="center"/>
      </w:pPr>
      <w:r>
        <w:rPr>
          <w:szCs w:val="24"/>
        </w:rPr>
        <w:t>___________________</w:t>
      </w:r>
    </w:p>
    <w:p w:rsidR="00A308D1" w:rsidRDefault="005B5625">
      <w:pPr>
        <w:rPr>
          <w:rFonts w:eastAsia="MS Mincho"/>
          <w:i/>
          <w:iCs/>
          <w:sz w:val="20"/>
        </w:rPr>
      </w:pPr>
      <w:r>
        <w:rPr>
          <w:rFonts w:eastAsia="MS Mincho"/>
          <w:i/>
          <w:iCs/>
          <w:sz w:val="20"/>
        </w:rPr>
        <w:t>Priedo pakeitimai:</w:t>
      </w:r>
    </w:p>
    <w:p w:rsidR="00A308D1" w:rsidRDefault="005B5625" w:rsidP="008B2D2B">
      <w:pPr>
        <w:jc w:val="both"/>
        <w:rPr>
          <w:snapToGrid w:val="0"/>
        </w:rPr>
      </w:pPr>
      <w:r>
        <w:rPr>
          <w:rFonts w:eastAsia="MS Mincho"/>
          <w:i/>
          <w:iCs/>
          <w:sz w:val="20"/>
        </w:rPr>
        <w:t xml:space="preserve">Nr. </w:t>
      </w:r>
      <w:hyperlink r:id="rId7" w:history="1">
        <w:r w:rsidRPr="00532B9F">
          <w:rPr>
            <w:rFonts w:eastAsia="MS Mincho"/>
            <w:i/>
            <w:iCs/>
            <w:color w:val="0000FF" w:themeColor="hyperlink"/>
            <w:sz w:val="20"/>
            <w:u w:val="single"/>
          </w:rPr>
          <w:t>A1-474</w:t>
        </w:r>
      </w:hyperlink>
      <w:r>
        <w:rPr>
          <w:rFonts w:eastAsia="MS Mincho"/>
          <w:i/>
          <w:iCs/>
          <w:sz w:val="20"/>
        </w:rPr>
        <w:t>, 2021-06-29, paskelbta TAR 2021-06-29, i. k. 2021-14517</w:t>
      </w:r>
    </w:p>
    <w:sectPr w:rsidR="00A308D1">
      <w:headerReference w:type="even" r:id="rId8"/>
      <w:headerReference w:type="default" r:id="rId9"/>
      <w:footerReference w:type="even" r:id="rId10"/>
      <w:footerReference w:type="default" r:id="rId11"/>
      <w:headerReference w:type="first" r:id="rId12"/>
      <w:footerReference w:type="first" r:id="rId13"/>
      <w:pgSz w:w="11906" w:h="16838" w:code="9"/>
      <w:pgMar w:top="1418" w:right="849" w:bottom="1418" w:left="1701" w:header="567"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40660" w:rsidRDefault="00540660">
      <w:pPr>
        <w:rPr>
          <w:rFonts w:ascii="Garamond" w:hAnsi="Garamond"/>
        </w:rPr>
      </w:pPr>
      <w:r>
        <w:rPr>
          <w:rFonts w:ascii="Garamond" w:hAnsi="Garamond"/>
        </w:rPr>
        <w:separator/>
      </w:r>
    </w:p>
  </w:endnote>
  <w:endnote w:type="continuationSeparator" w:id="0">
    <w:p w:rsidR="00540660" w:rsidRDefault="00540660">
      <w:pPr>
        <w:rPr>
          <w:rFonts w:ascii="Garamond" w:hAnsi="Garamond"/>
        </w:rPr>
      </w:pPr>
      <w:r>
        <w:rPr>
          <w:rFonts w:ascii="Garamond" w:hAnsi="Garamon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TimesLT">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819"/>
        <w:tab w:val="right" w:pos="9638"/>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819"/>
        <w:tab w:val="right" w:pos="9638"/>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40660" w:rsidRDefault="00540660">
      <w:pPr>
        <w:rPr>
          <w:rFonts w:ascii="Garamond" w:hAnsi="Garamond"/>
        </w:rPr>
      </w:pPr>
      <w:r>
        <w:rPr>
          <w:rFonts w:ascii="Garamond" w:hAnsi="Garamond"/>
        </w:rPr>
        <w:separator/>
      </w:r>
    </w:p>
  </w:footnote>
  <w:footnote w:type="continuationSeparator" w:id="0">
    <w:p w:rsidR="00540660" w:rsidRDefault="00540660">
      <w:pPr>
        <w:rPr>
          <w:rFonts w:ascii="Garamond" w:hAnsi="Garamond"/>
        </w:rPr>
      </w:pPr>
      <w:r>
        <w:rPr>
          <w:rFonts w:ascii="Garamond" w:hAnsi="Garamond"/>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5B5625">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rsidR="00A308D1" w:rsidRDefault="00A308D1">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5B5625">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sz w:val="20"/>
        <w:lang w:val="en-GB"/>
      </w:rPr>
      <w:t>3</w:t>
    </w:r>
    <w:r>
      <w:rPr>
        <w:rFonts w:ascii="TimesLT" w:hAnsi="TimesLT"/>
        <w:sz w:val="20"/>
        <w:lang w:val="en-GB"/>
      </w:rPr>
      <w:fldChar w:fldCharType="end"/>
    </w:r>
  </w:p>
  <w:p w:rsidR="00A308D1" w:rsidRDefault="00A308D1">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14D"/>
    <w:rsid w:val="00002D19"/>
    <w:rsid w:val="0004614D"/>
    <w:rsid w:val="000A6430"/>
    <w:rsid w:val="000B7294"/>
    <w:rsid w:val="0011252F"/>
    <w:rsid w:val="00201DCC"/>
    <w:rsid w:val="00243BC1"/>
    <w:rsid w:val="00243D55"/>
    <w:rsid w:val="00250F67"/>
    <w:rsid w:val="002D19AC"/>
    <w:rsid w:val="00321D6F"/>
    <w:rsid w:val="003413D4"/>
    <w:rsid w:val="003633A1"/>
    <w:rsid w:val="003C6A01"/>
    <w:rsid w:val="0051732D"/>
    <w:rsid w:val="00540660"/>
    <w:rsid w:val="005B5625"/>
    <w:rsid w:val="005D7253"/>
    <w:rsid w:val="005E297F"/>
    <w:rsid w:val="007C314D"/>
    <w:rsid w:val="007C5ABA"/>
    <w:rsid w:val="008B2D2B"/>
    <w:rsid w:val="008F4BA3"/>
    <w:rsid w:val="009F0397"/>
    <w:rsid w:val="00A308D1"/>
    <w:rsid w:val="00A62C77"/>
    <w:rsid w:val="00A729BC"/>
    <w:rsid w:val="00A966CE"/>
    <w:rsid w:val="00AC5D1E"/>
    <w:rsid w:val="00B165FB"/>
    <w:rsid w:val="00B455AD"/>
    <w:rsid w:val="00D0253C"/>
    <w:rsid w:val="00D957F9"/>
    <w:rsid w:val="00DF1422"/>
    <w:rsid w:val="00E77382"/>
    <w:rsid w:val="00E818D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D8F7E1"/>
  <w15:docId w15:val="{E1A06462-2277-40FE-921F-5733C8F80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26539">
      <w:bodyDiv w:val="1"/>
      <w:marLeft w:val="225"/>
      <w:marRight w:val="225"/>
      <w:marTop w:val="0"/>
      <w:marBottom w:val="0"/>
      <w:divBdr>
        <w:top w:val="none" w:sz="0" w:space="0" w:color="auto"/>
        <w:left w:val="none" w:sz="0" w:space="0" w:color="auto"/>
        <w:bottom w:val="none" w:sz="0" w:space="0" w:color="auto"/>
        <w:right w:val="none" w:sz="0" w:space="0" w:color="auto"/>
      </w:divBdr>
      <w:divsChild>
        <w:div w:id="312756042">
          <w:marLeft w:val="0"/>
          <w:marRight w:val="0"/>
          <w:marTop w:val="0"/>
          <w:marBottom w:val="0"/>
          <w:divBdr>
            <w:top w:val="none" w:sz="0" w:space="0" w:color="auto"/>
            <w:left w:val="none" w:sz="0" w:space="0" w:color="auto"/>
            <w:bottom w:val="none" w:sz="0" w:space="0" w:color="auto"/>
            <w:right w:val="none" w:sz="0" w:space="0" w:color="auto"/>
          </w:divBdr>
        </w:div>
      </w:divsChild>
    </w:div>
    <w:div w:id="73086422">
      <w:bodyDiv w:val="1"/>
      <w:marLeft w:val="0"/>
      <w:marRight w:val="0"/>
      <w:marTop w:val="0"/>
      <w:marBottom w:val="0"/>
      <w:divBdr>
        <w:top w:val="none" w:sz="0" w:space="0" w:color="auto"/>
        <w:left w:val="none" w:sz="0" w:space="0" w:color="auto"/>
        <w:bottom w:val="none" w:sz="0" w:space="0" w:color="auto"/>
        <w:right w:val="none" w:sz="0" w:space="0" w:color="auto"/>
      </w:divBdr>
    </w:div>
    <w:div w:id="159397787">
      <w:bodyDiv w:val="1"/>
      <w:marLeft w:val="225"/>
      <w:marRight w:val="225"/>
      <w:marTop w:val="0"/>
      <w:marBottom w:val="0"/>
      <w:divBdr>
        <w:top w:val="none" w:sz="0" w:space="0" w:color="auto"/>
        <w:left w:val="none" w:sz="0" w:space="0" w:color="auto"/>
        <w:bottom w:val="none" w:sz="0" w:space="0" w:color="auto"/>
        <w:right w:val="none" w:sz="0" w:space="0" w:color="auto"/>
      </w:divBdr>
      <w:divsChild>
        <w:div w:id="1501042233">
          <w:marLeft w:val="0"/>
          <w:marRight w:val="0"/>
          <w:marTop w:val="0"/>
          <w:marBottom w:val="0"/>
          <w:divBdr>
            <w:top w:val="none" w:sz="0" w:space="0" w:color="auto"/>
            <w:left w:val="none" w:sz="0" w:space="0" w:color="auto"/>
            <w:bottom w:val="none" w:sz="0" w:space="0" w:color="auto"/>
            <w:right w:val="none" w:sz="0" w:space="0" w:color="auto"/>
          </w:divBdr>
        </w:div>
      </w:divsChild>
    </w:div>
    <w:div w:id="201982941">
      <w:bodyDiv w:val="1"/>
      <w:marLeft w:val="0"/>
      <w:marRight w:val="0"/>
      <w:marTop w:val="0"/>
      <w:marBottom w:val="0"/>
      <w:divBdr>
        <w:top w:val="none" w:sz="0" w:space="0" w:color="auto"/>
        <w:left w:val="none" w:sz="0" w:space="0" w:color="auto"/>
        <w:bottom w:val="none" w:sz="0" w:space="0" w:color="auto"/>
        <w:right w:val="none" w:sz="0" w:space="0" w:color="auto"/>
      </w:divBdr>
    </w:div>
    <w:div w:id="209615690">
      <w:bodyDiv w:val="1"/>
      <w:marLeft w:val="0"/>
      <w:marRight w:val="0"/>
      <w:marTop w:val="0"/>
      <w:marBottom w:val="0"/>
      <w:divBdr>
        <w:top w:val="none" w:sz="0" w:space="0" w:color="auto"/>
        <w:left w:val="none" w:sz="0" w:space="0" w:color="auto"/>
        <w:bottom w:val="none" w:sz="0" w:space="0" w:color="auto"/>
        <w:right w:val="none" w:sz="0" w:space="0" w:color="auto"/>
      </w:divBdr>
    </w:div>
    <w:div w:id="249242280">
      <w:bodyDiv w:val="1"/>
      <w:marLeft w:val="0"/>
      <w:marRight w:val="0"/>
      <w:marTop w:val="0"/>
      <w:marBottom w:val="0"/>
      <w:divBdr>
        <w:top w:val="none" w:sz="0" w:space="0" w:color="auto"/>
        <w:left w:val="none" w:sz="0" w:space="0" w:color="auto"/>
        <w:bottom w:val="none" w:sz="0" w:space="0" w:color="auto"/>
        <w:right w:val="none" w:sz="0" w:space="0" w:color="auto"/>
      </w:divBdr>
    </w:div>
    <w:div w:id="320936758">
      <w:bodyDiv w:val="1"/>
      <w:marLeft w:val="225"/>
      <w:marRight w:val="225"/>
      <w:marTop w:val="0"/>
      <w:marBottom w:val="0"/>
      <w:divBdr>
        <w:top w:val="none" w:sz="0" w:space="0" w:color="auto"/>
        <w:left w:val="none" w:sz="0" w:space="0" w:color="auto"/>
        <w:bottom w:val="none" w:sz="0" w:space="0" w:color="auto"/>
        <w:right w:val="none" w:sz="0" w:space="0" w:color="auto"/>
      </w:divBdr>
      <w:divsChild>
        <w:div w:id="1771850054">
          <w:marLeft w:val="0"/>
          <w:marRight w:val="0"/>
          <w:marTop w:val="0"/>
          <w:marBottom w:val="0"/>
          <w:divBdr>
            <w:top w:val="none" w:sz="0" w:space="0" w:color="auto"/>
            <w:left w:val="none" w:sz="0" w:space="0" w:color="auto"/>
            <w:bottom w:val="none" w:sz="0" w:space="0" w:color="auto"/>
            <w:right w:val="none" w:sz="0" w:space="0" w:color="auto"/>
          </w:divBdr>
        </w:div>
      </w:divsChild>
    </w:div>
    <w:div w:id="333995041">
      <w:bodyDiv w:val="1"/>
      <w:marLeft w:val="225"/>
      <w:marRight w:val="225"/>
      <w:marTop w:val="0"/>
      <w:marBottom w:val="0"/>
      <w:divBdr>
        <w:top w:val="none" w:sz="0" w:space="0" w:color="auto"/>
        <w:left w:val="none" w:sz="0" w:space="0" w:color="auto"/>
        <w:bottom w:val="none" w:sz="0" w:space="0" w:color="auto"/>
        <w:right w:val="none" w:sz="0" w:space="0" w:color="auto"/>
      </w:divBdr>
      <w:divsChild>
        <w:div w:id="2013409794">
          <w:marLeft w:val="0"/>
          <w:marRight w:val="0"/>
          <w:marTop w:val="0"/>
          <w:marBottom w:val="0"/>
          <w:divBdr>
            <w:top w:val="none" w:sz="0" w:space="0" w:color="auto"/>
            <w:left w:val="none" w:sz="0" w:space="0" w:color="auto"/>
            <w:bottom w:val="none" w:sz="0" w:space="0" w:color="auto"/>
            <w:right w:val="none" w:sz="0" w:space="0" w:color="auto"/>
          </w:divBdr>
        </w:div>
      </w:divsChild>
    </w:div>
    <w:div w:id="338891717">
      <w:bodyDiv w:val="1"/>
      <w:marLeft w:val="225"/>
      <w:marRight w:val="225"/>
      <w:marTop w:val="0"/>
      <w:marBottom w:val="0"/>
      <w:divBdr>
        <w:top w:val="none" w:sz="0" w:space="0" w:color="auto"/>
        <w:left w:val="none" w:sz="0" w:space="0" w:color="auto"/>
        <w:bottom w:val="none" w:sz="0" w:space="0" w:color="auto"/>
        <w:right w:val="none" w:sz="0" w:space="0" w:color="auto"/>
      </w:divBdr>
      <w:divsChild>
        <w:div w:id="1426682888">
          <w:marLeft w:val="0"/>
          <w:marRight w:val="0"/>
          <w:marTop w:val="0"/>
          <w:marBottom w:val="0"/>
          <w:divBdr>
            <w:top w:val="none" w:sz="0" w:space="0" w:color="auto"/>
            <w:left w:val="none" w:sz="0" w:space="0" w:color="auto"/>
            <w:bottom w:val="none" w:sz="0" w:space="0" w:color="auto"/>
            <w:right w:val="none" w:sz="0" w:space="0" w:color="auto"/>
          </w:divBdr>
        </w:div>
      </w:divsChild>
    </w:div>
    <w:div w:id="341980748">
      <w:bodyDiv w:val="1"/>
      <w:marLeft w:val="225"/>
      <w:marRight w:val="225"/>
      <w:marTop w:val="0"/>
      <w:marBottom w:val="0"/>
      <w:divBdr>
        <w:top w:val="none" w:sz="0" w:space="0" w:color="auto"/>
        <w:left w:val="none" w:sz="0" w:space="0" w:color="auto"/>
        <w:bottom w:val="none" w:sz="0" w:space="0" w:color="auto"/>
        <w:right w:val="none" w:sz="0" w:space="0" w:color="auto"/>
      </w:divBdr>
    </w:div>
    <w:div w:id="494033243">
      <w:bodyDiv w:val="1"/>
      <w:marLeft w:val="0"/>
      <w:marRight w:val="0"/>
      <w:marTop w:val="0"/>
      <w:marBottom w:val="0"/>
      <w:divBdr>
        <w:top w:val="none" w:sz="0" w:space="0" w:color="auto"/>
        <w:left w:val="none" w:sz="0" w:space="0" w:color="auto"/>
        <w:bottom w:val="none" w:sz="0" w:space="0" w:color="auto"/>
        <w:right w:val="none" w:sz="0" w:space="0" w:color="auto"/>
      </w:divBdr>
    </w:div>
    <w:div w:id="536545251">
      <w:bodyDiv w:val="1"/>
      <w:marLeft w:val="0"/>
      <w:marRight w:val="0"/>
      <w:marTop w:val="0"/>
      <w:marBottom w:val="0"/>
      <w:divBdr>
        <w:top w:val="none" w:sz="0" w:space="0" w:color="auto"/>
        <w:left w:val="none" w:sz="0" w:space="0" w:color="auto"/>
        <w:bottom w:val="none" w:sz="0" w:space="0" w:color="auto"/>
        <w:right w:val="none" w:sz="0" w:space="0" w:color="auto"/>
      </w:divBdr>
    </w:div>
    <w:div w:id="572394451">
      <w:bodyDiv w:val="1"/>
      <w:marLeft w:val="0"/>
      <w:marRight w:val="0"/>
      <w:marTop w:val="0"/>
      <w:marBottom w:val="0"/>
      <w:divBdr>
        <w:top w:val="none" w:sz="0" w:space="0" w:color="auto"/>
        <w:left w:val="none" w:sz="0" w:space="0" w:color="auto"/>
        <w:bottom w:val="none" w:sz="0" w:space="0" w:color="auto"/>
        <w:right w:val="none" w:sz="0" w:space="0" w:color="auto"/>
      </w:divBdr>
    </w:div>
    <w:div w:id="578102957">
      <w:bodyDiv w:val="1"/>
      <w:marLeft w:val="0"/>
      <w:marRight w:val="0"/>
      <w:marTop w:val="0"/>
      <w:marBottom w:val="0"/>
      <w:divBdr>
        <w:top w:val="none" w:sz="0" w:space="0" w:color="auto"/>
        <w:left w:val="none" w:sz="0" w:space="0" w:color="auto"/>
        <w:bottom w:val="none" w:sz="0" w:space="0" w:color="auto"/>
        <w:right w:val="none" w:sz="0" w:space="0" w:color="auto"/>
      </w:divBdr>
    </w:div>
    <w:div w:id="581335021">
      <w:bodyDiv w:val="1"/>
      <w:marLeft w:val="225"/>
      <w:marRight w:val="225"/>
      <w:marTop w:val="0"/>
      <w:marBottom w:val="0"/>
      <w:divBdr>
        <w:top w:val="none" w:sz="0" w:space="0" w:color="auto"/>
        <w:left w:val="none" w:sz="0" w:space="0" w:color="auto"/>
        <w:bottom w:val="none" w:sz="0" w:space="0" w:color="auto"/>
        <w:right w:val="none" w:sz="0" w:space="0" w:color="auto"/>
      </w:divBdr>
      <w:divsChild>
        <w:div w:id="1117485696">
          <w:marLeft w:val="0"/>
          <w:marRight w:val="0"/>
          <w:marTop w:val="0"/>
          <w:marBottom w:val="0"/>
          <w:divBdr>
            <w:top w:val="none" w:sz="0" w:space="0" w:color="auto"/>
            <w:left w:val="none" w:sz="0" w:space="0" w:color="auto"/>
            <w:bottom w:val="none" w:sz="0" w:space="0" w:color="auto"/>
            <w:right w:val="none" w:sz="0" w:space="0" w:color="auto"/>
          </w:divBdr>
        </w:div>
      </w:divsChild>
    </w:div>
    <w:div w:id="624197300">
      <w:bodyDiv w:val="1"/>
      <w:marLeft w:val="0"/>
      <w:marRight w:val="0"/>
      <w:marTop w:val="0"/>
      <w:marBottom w:val="0"/>
      <w:divBdr>
        <w:top w:val="none" w:sz="0" w:space="0" w:color="auto"/>
        <w:left w:val="none" w:sz="0" w:space="0" w:color="auto"/>
        <w:bottom w:val="none" w:sz="0" w:space="0" w:color="auto"/>
        <w:right w:val="none" w:sz="0" w:space="0" w:color="auto"/>
      </w:divBdr>
    </w:div>
    <w:div w:id="721094643">
      <w:bodyDiv w:val="1"/>
      <w:marLeft w:val="0"/>
      <w:marRight w:val="0"/>
      <w:marTop w:val="0"/>
      <w:marBottom w:val="0"/>
      <w:divBdr>
        <w:top w:val="none" w:sz="0" w:space="0" w:color="auto"/>
        <w:left w:val="none" w:sz="0" w:space="0" w:color="auto"/>
        <w:bottom w:val="none" w:sz="0" w:space="0" w:color="auto"/>
        <w:right w:val="none" w:sz="0" w:space="0" w:color="auto"/>
      </w:divBdr>
    </w:div>
    <w:div w:id="794638857">
      <w:bodyDiv w:val="1"/>
      <w:marLeft w:val="0"/>
      <w:marRight w:val="0"/>
      <w:marTop w:val="0"/>
      <w:marBottom w:val="0"/>
      <w:divBdr>
        <w:top w:val="none" w:sz="0" w:space="0" w:color="auto"/>
        <w:left w:val="none" w:sz="0" w:space="0" w:color="auto"/>
        <w:bottom w:val="none" w:sz="0" w:space="0" w:color="auto"/>
        <w:right w:val="none" w:sz="0" w:space="0" w:color="auto"/>
      </w:divBdr>
    </w:div>
    <w:div w:id="796144488">
      <w:bodyDiv w:val="1"/>
      <w:marLeft w:val="225"/>
      <w:marRight w:val="225"/>
      <w:marTop w:val="0"/>
      <w:marBottom w:val="0"/>
      <w:divBdr>
        <w:top w:val="none" w:sz="0" w:space="0" w:color="auto"/>
        <w:left w:val="none" w:sz="0" w:space="0" w:color="auto"/>
        <w:bottom w:val="none" w:sz="0" w:space="0" w:color="auto"/>
        <w:right w:val="none" w:sz="0" w:space="0" w:color="auto"/>
      </w:divBdr>
      <w:divsChild>
        <w:div w:id="186143617">
          <w:marLeft w:val="0"/>
          <w:marRight w:val="0"/>
          <w:marTop w:val="0"/>
          <w:marBottom w:val="0"/>
          <w:divBdr>
            <w:top w:val="none" w:sz="0" w:space="0" w:color="auto"/>
            <w:left w:val="none" w:sz="0" w:space="0" w:color="auto"/>
            <w:bottom w:val="none" w:sz="0" w:space="0" w:color="auto"/>
            <w:right w:val="none" w:sz="0" w:space="0" w:color="auto"/>
          </w:divBdr>
        </w:div>
      </w:divsChild>
    </w:div>
    <w:div w:id="801726022">
      <w:bodyDiv w:val="1"/>
      <w:marLeft w:val="225"/>
      <w:marRight w:val="225"/>
      <w:marTop w:val="0"/>
      <w:marBottom w:val="0"/>
      <w:divBdr>
        <w:top w:val="none" w:sz="0" w:space="0" w:color="auto"/>
        <w:left w:val="none" w:sz="0" w:space="0" w:color="auto"/>
        <w:bottom w:val="none" w:sz="0" w:space="0" w:color="auto"/>
        <w:right w:val="none" w:sz="0" w:space="0" w:color="auto"/>
      </w:divBdr>
      <w:divsChild>
        <w:div w:id="935479602">
          <w:marLeft w:val="0"/>
          <w:marRight w:val="0"/>
          <w:marTop w:val="0"/>
          <w:marBottom w:val="0"/>
          <w:divBdr>
            <w:top w:val="none" w:sz="0" w:space="0" w:color="auto"/>
            <w:left w:val="none" w:sz="0" w:space="0" w:color="auto"/>
            <w:bottom w:val="none" w:sz="0" w:space="0" w:color="auto"/>
            <w:right w:val="none" w:sz="0" w:space="0" w:color="auto"/>
          </w:divBdr>
        </w:div>
      </w:divsChild>
    </w:div>
    <w:div w:id="828059678">
      <w:bodyDiv w:val="1"/>
      <w:marLeft w:val="225"/>
      <w:marRight w:val="225"/>
      <w:marTop w:val="0"/>
      <w:marBottom w:val="0"/>
      <w:divBdr>
        <w:top w:val="none" w:sz="0" w:space="0" w:color="auto"/>
        <w:left w:val="none" w:sz="0" w:space="0" w:color="auto"/>
        <w:bottom w:val="none" w:sz="0" w:space="0" w:color="auto"/>
        <w:right w:val="none" w:sz="0" w:space="0" w:color="auto"/>
      </w:divBdr>
      <w:divsChild>
        <w:div w:id="1534228723">
          <w:marLeft w:val="0"/>
          <w:marRight w:val="0"/>
          <w:marTop w:val="0"/>
          <w:marBottom w:val="0"/>
          <w:divBdr>
            <w:top w:val="none" w:sz="0" w:space="0" w:color="auto"/>
            <w:left w:val="none" w:sz="0" w:space="0" w:color="auto"/>
            <w:bottom w:val="none" w:sz="0" w:space="0" w:color="auto"/>
            <w:right w:val="none" w:sz="0" w:space="0" w:color="auto"/>
          </w:divBdr>
        </w:div>
      </w:divsChild>
    </w:div>
    <w:div w:id="959990079">
      <w:bodyDiv w:val="1"/>
      <w:marLeft w:val="0"/>
      <w:marRight w:val="0"/>
      <w:marTop w:val="0"/>
      <w:marBottom w:val="0"/>
      <w:divBdr>
        <w:top w:val="none" w:sz="0" w:space="0" w:color="auto"/>
        <w:left w:val="none" w:sz="0" w:space="0" w:color="auto"/>
        <w:bottom w:val="none" w:sz="0" w:space="0" w:color="auto"/>
        <w:right w:val="none" w:sz="0" w:space="0" w:color="auto"/>
      </w:divBdr>
    </w:div>
    <w:div w:id="977035264">
      <w:bodyDiv w:val="1"/>
      <w:marLeft w:val="0"/>
      <w:marRight w:val="0"/>
      <w:marTop w:val="0"/>
      <w:marBottom w:val="0"/>
      <w:divBdr>
        <w:top w:val="none" w:sz="0" w:space="0" w:color="auto"/>
        <w:left w:val="none" w:sz="0" w:space="0" w:color="auto"/>
        <w:bottom w:val="none" w:sz="0" w:space="0" w:color="auto"/>
        <w:right w:val="none" w:sz="0" w:space="0" w:color="auto"/>
      </w:divBdr>
    </w:div>
    <w:div w:id="1255867937">
      <w:bodyDiv w:val="1"/>
      <w:marLeft w:val="0"/>
      <w:marRight w:val="0"/>
      <w:marTop w:val="0"/>
      <w:marBottom w:val="0"/>
      <w:divBdr>
        <w:top w:val="none" w:sz="0" w:space="0" w:color="auto"/>
        <w:left w:val="none" w:sz="0" w:space="0" w:color="auto"/>
        <w:bottom w:val="none" w:sz="0" w:space="0" w:color="auto"/>
        <w:right w:val="none" w:sz="0" w:space="0" w:color="auto"/>
      </w:divBdr>
    </w:div>
    <w:div w:id="1419131650">
      <w:bodyDiv w:val="1"/>
      <w:marLeft w:val="0"/>
      <w:marRight w:val="0"/>
      <w:marTop w:val="0"/>
      <w:marBottom w:val="0"/>
      <w:divBdr>
        <w:top w:val="none" w:sz="0" w:space="0" w:color="auto"/>
        <w:left w:val="none" w:sz="0" w:space="0" w:color="auto"/>
        <w:bottom w:val="none" w:sz="0" w:space="0" w:color="auto"/>
        <w:right w:val="none" w:sz="0" w:space="0" w:color="auto"/>
      </w:divBdr>
    </w:div>
    <w:div w:id="1586380479">
      <w:bodyDiv w:val="1"/>
      <w:marLeft w:val="0"/>
      <w:marRight w:val="0"/>
      <w:marTop w:val="0"/>
      <w:marBottom w:val="0"/>
      <w:divBdr>
        <w:top w:val="none" w:sz="0" w:space="0" w:color="auto"/>
        <w:left w:val="none" w:sz="0" w:space="0" w:color="auto"/>
        <w:bottom w:val="none" w:sz="0" w:space="0" w:color="auto"/>
        <w:right w:val="none" w:sz="0" w:space="0" w:color="auto"/>
      </w:divBdr>
    </w:div>
    <w:div w:id="1635331234">
      <w:bodyDiv w:val="1"/>
      <w:marLeft w:val="0"/>
      <w:marRight w:val="0"/>
      <w:marTop w:val="0"/>
      <w:marBottom w:val="0"/>
      <w:divBdr>
        <w:top w:val="none" w:sz="0" w:space="0" w:color="auto"/>
        <w:left w:val="none" w:sz="0" w:space="0" w:color="auto"/>
        <w:bottom w:val="none" w:sz="0" w:space="0" w:color="auto"/>
        <w:right w:val="none" w:sz="0" w:space="0" w:color="auto"/>
      </w:divBdr>
    </w:div>
    <w:div w:id="1665745043">
      <w:bodyDiv w:val="1"/>
      <w:marLeft w:val="0"/>
      <w:marRight w:val="0"/>
      <w:marTop w:val="0"/>
      <w:marBottom w:val="0"/>
      <w:divBdr>
        <w:top w:val="none" w:sz="0" w:space="0" w:color="auto"/>
        <w:left w:val="none" w:sz="0" w:space="0" w:color="auto"/>
        <w:bottom w:val="none" w:sz="0" w:space="0" w:color="auto"/>
        <w:right w:val="none" w:sz="0" w:space="0" w:color="auto"/>
      </w:divBdr>
    </w:div>
    <w:div w:id="1690570112">
      <w:bodyDiv w:val="1"/>
      <w:marLeft w:val="0"/>
      <w:marRight w:val="0"/>
      <w:marTop w:val="0"/>
      <w:marBottom w:val="0"/>
      <w:divBdr>
        <w:top w:val="none" w:sz="0" w:space="0" w:color="auto"/>
        <w:left w:val="none" w:sz="0" w:space="0" w:color="auto"/>
        <w:bottom w:val="none" w:sz="0" w:space="0" w:color="auto"/>
        <w:right w:val="none" w:sz="0" w:space="0" w:color="auto"/>
      </w:divBdr>
    </w:div>
    <w:div w:id="1693453283">
      <w:bodyDiv w:val="1"/>
      <w:marLeft w:val="225"/>
      <w:marRight w:val="225"/>
      <w:marTop w:val="0"/>
      <w:marBottom w:val="0"/>
      <w:divBdr>
        <w:top w:val="none" w:sz="0" w:space="0" w:color="auto"/>
        <w:left w:val="none" w:sz="0" w:space="0" w:color="auto"/>
        <w:bottom w:val="none" w:sz="0" w:space="0" w:color="auto"/>
        <w:right w:val="none" w:sz="0" w:space="0" w:color="auto"/>
      </w:divBdr>
      <w:divsChild>
        <w:div w:id="1685551562">
          <w:marLeft w:val="0"/>
          <w:marRight w:val="0"/>
          <w:marTop w:val="0"/>
          <w:marBottom w:val="0"/>
          <w:divBdr>
            <w:top w:val="none" w:sz="0" w:space="0" w:color="auto"/>
            <w:left w:val="none" w:sz="0" w:space="0" w:color="auto"/>
            <w:bottom w:val="none" w:sz="0" w:space="0" w:color="auto"/>
            <w:right w:val="none" w:sz="0" w:space="0" w:color="auto"/>
          </w:divBdr>
        </w:div>
      </w:divsChild>
    </w:div>
    <w:div w:id="1694574148">
      <w:bodyDiv w:val="1"/>
      <w:marLeft w:val="0"/>
      <w:marRight w:val="0"/>
      <w:marTop w:val="0"/>
      <w:marBottom w:val="0"/>
      <w:divBdr>
        <w:top w:val="none" w:sz="0" w:space="0" w:color="auto"/>
        <w:left w:val="none" w:sz="0" w:space="0" w:color="auto"/>
        <w:bottom w:val="none" w:sz="0" w:space="0" w:color="auto"/>
        <w:right w:val="none" w:sz="0" w:space="0" w:color="auto"/>
      </w:divBdr>
    </w:div>
    <w:div w:id="1777676616">
      <w:bodyDiv w:val="1"/>
      <w:marLeft w:val="0"/>
      <w:marRight w:val="0"/>
      <w:marTop w:val="0"/>
      <w:marBottom w:val="0"/>
      <w:divBdr>
        <w:top w:val="none" w:sz="0" w:space="0" w:color="auto"/>
        <w:left w:val="none" w:sz="0" w:space="0" w:color="auto"/>
        <w:bottom w:val="none" w:sz="0" w:space="0" w:color="auto"/>
        <w:right w:val="none" w:sz="0" w:space="0" w:color="auto"/>
      </w:divBdr>
    </w:div>
    <w:div w:id="1837764554">
      <w:bodyDiv w:val="1"/>
      <w:marLeft w:val="0"/>
      <w:marRight w:val="0"/>
      <w:marTop w:val="0"/>
      <w:marBottom w:val="0"/>
      <w:divBdr>
        <w:top w:val="none" w:sz="0" w:space="0" w:color="auto"/>
        <w:left w:val="none" w:sz="0" w:space="0" w:color="auto"/>
        <w:bottom w:val="none" w:sz="0" w:space="0" w:color="auto"/>
        <w:right w:val="none" w:sz="0" w:space="0" w:color="auto"/>
      </w:divBdr>
    </w:div>
    <w:div w:id="1943758754">
      <w:bodyDiv w:val="1"/>
      <w:marLeft w:val="0"/>
      <w:marRight w:val="0"/>
      <w:marTop w:val="0"/>
      <w:marBottom w:val="0"/>
      <w:divBdr>
        <w:top w:val="none" w:sz="0" w:space="0" w:color="auto"/>
        <w:left w:val="none" w:sz="0" w:space="0" w:color="auto"/>
        <w:bottom w:val="none" w:sz="0" w:space="0" w:color="auto"/>
        <w:right w:val="none" w:sz="0" w:space="0" w:color="auto"/>
      </w:divBdr>
    </w:div>
    <w:div w:id="1964379699">
      <w:bodyDiv w:val="1"/>
      <w:marLeft w:val="0"/>
      <w:marRight w:val="0"/>
      <w:marTop w:val="0"/>
      <w:marBottom w:val="0"/>
      <w:divBdr>
        <w:top w:val="none" w:sz="0" w:space="0" w:color="auto"/>
        <w:left w:val="none" w:sz="0" w:space="0" w:color="auto"/>
        <w:bottom w:val="none" w:sz="0" w:space="0" w:color="auto"/>
        <w:right w:val="none" w:sz="0" w:space="0" w:color="auto"/>
      </w:divBdr>
    </w:div>
    <w:div w:id="2023390050">
      <w:bodyDiv w:val="1"/>
      <w:marLeft w:val="225"/>
      <w:marRight w:val="225"/>
      <w:marTop w:val="0"/>
      <w:marBottom w:val="0"/>
      <w:divBdr>
        <w:top w:val="none" w:sz="0" w:space="0" w:color="auto"/>
        <w:left w:val="none" w:sz="0" w:space="0" w:color="auto"/>
        <w:bottom w:val="none" w:sz="0" w:space="0" w:color="auto"/>
        <w:right w:val="none" w:sz="0" w:space="0" w:color="auto"/>
      </w:divBdr>
      <w:divsChild>
        <w:div w:id="59914077">
          <w:marLeft w:val="0"/>
          <w:marRight w:val="0"/>
          <w:marTop w:val="0"/>
          <w:marBottom w:val="0"/>
          <w:divBdr>
            <w:top w:val="none" w:sz="0" w:space="0" w:color="auto"/>
            <w:left w:val="none" w:sz="0" w:space="0" w:color="auto"/>
            <w:bottom w:val="none" w:sz="0" w:space="0" w:color="auto"/>
            <w:right w:val="none" w:sz="0" w:space="0" w:color="auto"/>
          </w:divBdr>
        </w:div>
      </w:divsChild>
    </w:div>
    <w:div w:id="2068993521">
      <w:bodyDiv w:val="1"/>
      <w:marLeft w:val="0"/>
      <w:marRight w:val="0"/>
      <w:marTop w:val="0"/>
      <w:marBottom w:val="0"/>
      <w:divBdr>
        <w:top w:val="none" w:sz="0" w:space="0" w:color="auto"/>
        <w:left w:val="none" w:sz="0" w:space="0" w:color="auto"/>
        <w:bottom w:val="none" w:sz="0" w:space="0" w:color="auto"/>
        <w:right w:val="none" w:sz="0" w:space="0" w:color="auto"/>
      </w:divBdr>
    </w:div>
    <w:div w:id="20795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tar.lt/portal/legalAct.html?documentId=1392bec0d8b011eb9f09e7df20500045"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B8A42CE9-39F7-453C-84DB-8737ED7D1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3369</Words>
  <Characters>1921</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vt:lpstr>
      <vt:lpstr>-v</vt:lpstr>
    </vt:vector>
  </TitlesOfParts>
  <Company>LRVK</Company>
  <LinksUpToDate>false</LinksUpToDate>
  <CharactersWithSpaces>5280</CharactersWithSpaces>
  <SharedDoc>false</SharedDoc>
  <HyperlinkBase/>
  <HLinks>
    <vt:vector size="6" baseType="variant">
      <vt:variant>
        <vt:i4>1835017</vt:i4>
      </vt:variant>
      <vt:variant>
        <vt:i4>3</vt:i4>
      </vt:variant>
      <vt:variant>
        <vt:i4>0</vt:i4>
      </vt:variant>
      <vt:variant>
        <vt:i4>5</vt:i4>
      </vt:variant>
      <vt:variant>
        <vt:lpwstr>http://192.168.133.235/Litlex/ll.dll?Tekstas=1&amp;Id=53717&amp;BF=1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c:title>
  <dc:creator>lrvk</dc:creator>
  <cp:lastModifiedBy>Gediminas</cp:lastModifiedBy>
  <cp:revision>1</cp:revision>
  <cp:lastPrinted>2022-05-23T06:27:00Z</cp:lastPrinted>
  <dcterms:created xsi:type="dcterms:W3CDTF">2023-08-10T11:40:00Z</dcterms:created>
  <dcterms:modified xsi:type="dcterms:W3CDTF">2023-08-10T11:40:00Z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795056366</vt:i4>
  </property>
  <property fmtid="{D5CDD505-2E9C-101B-9397-08002B2CF9AE}" pid="3" name="_NewReviewCycle">
    <vt:lpwstr/>
  </property>
  <property fmtid="{D5CDD505-2E9C-101B-9397-08002B2CF9AE}" pid="4" name="_EmailSubject">
    <vt:lpwstr>Įsakymo projektas</vt:lpwstr>
  </property>
  <property fmtid="{D5CDD505-2E9C-101B-9397-08002B2CF9AE}" pid="5" name="_AuthorEmail">
    <vt:lpwstr>Egle.Kucinskaite@socmin.lt</vt:lpwstr>
  </property>
  <property fmtid="{D5CDD505-2E9C-101B-9397-08002B2CF9AE}" pid="6" name="_AuthorEmailDisplayName">
    <vt:lpwstr>Eglė Kučinskaitė</vt:lpwstr>
  </property>
  <property fmtid="{D5CDD505-2E9C-101B-9397-08002B2CF9AE}" pid="7" name="_PreviousAdHocReviewCycleID">
    <vt:i4>-1837753256</vt:i4>
  </property>
  <property fmtid="{D5CDD505-2E9C-101B-9397-08002B2CF9AE}" pid="8" name="_ReviewingToolsShownOnce">
    <vt:lpwstr/>
  </property>
</Properties>
</file>